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16</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400207</w:t>
      </w:r>
      <w:bookmarkStart w:id="12" w:name="_GoBack"/>
      <w:bookmarkEnd w:id="12"/>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Athens, Greece, February</w:t>
      </w:r>
      <w:r>
        <w:rPr>
          <w:rFonts w:ascii="Arial" w:hAnsi="Arial" w:eastAsia="MS Mincho" w:cs="Arial"/>
          <w:b/>
          <w:bCs/>
          <w:sz w:val="28"/>
          <w:lang w:eastAsia="ja-JP"/>
        </w:rPr>
        <w:t xml:space="preserve"> </w:t>
      </w:r>
      <w:r>
        <w:rPr>
          <w:rFonts w:hint="eastAsia" w:ascii="Arial" w:hAnsi="Arial" w:cs="Arial"/>
          <w:b/>
          <w:bCs/>
          <w:sz w:val="28"/>
          <w:lang w:val="en-US" w:eastAsia="zh-CN"/>
        </w:rPr>
        <w:t>26</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March 1</w:t>
      </w:r>
      <w:r>
        <w:rPr>
          <w:rFonts w:hint="eastAsia" w:ascii="Arial" w:hAnsi="Arial" w:cs="Arial"/>
          <w:b/>
          <w:bCs/>
          <w:sz w:val="28"/>
          <w:vertAlign w:val="superscript"/>
          <w:lang w:val="en-US" w:eastAsia="zh-CN"/>
        </w:rPr>
        <w:t>st</w:t>
      </w:r>
      <w:r>
        <w:rPr>
          <w:rFonts w:ascii="Arial" w:hAnsi="Arial" w:eastAsia="MS Mincho" w:cs="Arial"/>
          <w:b/>
          <w:bCs/>
          <w:sz w:val="28"/>
          <w:lang w:eastAsia="ja-JP"/>
        </w:rPr>
        <w:t>, 202</w:t>
      </w:r>
      <w:r>
        <w:rPr>
          <w:rFonts w:hint="eastAsia" w:ascii="Arial" w:hAnsi="Arial" w:eastAsia="宋体" w:cs="Arial"/>
          <w:b/>
          <w:bCs/>
          <w:sz w:val="28"/>
          <w:lang w:val="en-US" w:eastAsia="zh-CN"/>
        </w:rPr>
        <w:t>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lang w:val="en-US" w:eastAsia="zh-CN"/>
              </w:rPr>
            </w:pPr>
            <w:r>
              <w:rPr>
                <w:rFonts w:hint="eastAsia"/>
                <w:lang w:val="en-US" w:eastAsia="zh-CN"/>
              </w:rPr>
              <w:t>...</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bookmarkStart w:id="2" w:name="_Hlk153407590"/>
            <w:r>
              <w:rPr>
                <w:rFonts w:hint="eastAsia" w:eastAsia="Malgun Gothic"/>
                <w:lang w:val="en-US" w:eastAsia="ko-KR"/>
              </w:rPr>
              <w:t>Specify UE transmission, reception and measurement behavior and procedures in SBFD symbols and/or non-SBFD symbols for SBFD aware UE [RAN1, RAN2]</w:t>
            </w:r>
          </w:p>
          <w:bookmarkEnd w:id="2"/>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 xml:space="preserve">Transmission and reception behaviours on SBFD subbands configured in DL and/or flexible symbol indicated by </w:t>
            </w:r>
            <w:r>
              <w:rPr>
                <w:rFonts w:hint="eastAsia" w:eastAsia="Malgun Gothic"/>
                <w:i/>
                <w:iCs/>
                <w:lang w:val="en-US" w:eastAsia="ko-KR"/>
              </w:rPr>
              <w:t>TDD-UL-DL-ConfigCommon</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UL transmissions within UL subband only</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DL receptions within DL subband(s) only, except for CLI measurement by the UE outside of the DL subbands</w:t>
            </w:r>
          </w:p>
          <w:p>
            <w:pPr>
              <w:keepNext w:val="0"/>
              <w:keepLines w:val="0"/>
              <w:widowControl w:val="0"/>
              <w:suppressLineNumbers w:val="0"/>
              <w:spacing w:before="0" w:beforeAutospacing="0" w:after="160" w:afterAutospacing="0" w:line="256" w:lineRule="auto"/>
              <w:ind w:left="2520" w:right="-99"/>
              <w:rPr>
                <w:rFonts w:hint="eastAsia" w:eastAsia="Malgun Gothic"/>
                <w:lang w:val="en-US" w:eastAsia="ko-KR"/>
              </w:rPr>
            </w:pPr>
            <w:r>
              <w:rPr>
                <w:rFonts w:hint="eastAsia" w:eastAsia="Malgun Gothic"/>
                <w:lang w:val="en-US" w:eastAsia="ko-KR"/>
              </w:rPr>
              <w:t xml:space="preserve">Note: </w:t>
            </w:r>
            <w:r>
              <w:rPr>
                <w:rFonts w:hint="eastAsia"/>
                <w:lang w:val="en-US" w:eastAsia="zh-CN"/>
              </w:rPr>
              <w:t>When flexible symbols are used, it is not expected that any legacy Uplink symbol is converted to Downlink/SBFD symbols</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Enhancement on resource allocation in frequency domain in SBFD symbols, including</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resource allocation in frequency domain for PDSCH/CSI-RS across two DL subbands in SBFD symbols</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handling of unaligned boundaries between SBFD subband(s) and RBG, CSI reporting subband, CSI-RS resource, PRG</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p>
        </w:tc>
      </w:tr>
    </w:tbl>
    <w:p>
      <w:pPr>
        <w:widowControl w:val="0"/>
        <w:kinsoku w:val="0"/>
        <w:overflowPunct w:val="0"/>
        <w:adjustRightInd/>
        <w:snapToGrid/>
      </w:pPr>
    </w:p>
    <w:p>
      <w:pPr>
        <w:widowControl w:val="0"/>
        <w:kinsoku w:val="0"/>
        <w:overflowPunct w:val="0"/>
        <w:adjustRightInd/>
        <w:snapToGrid/>
      </w:pPr>
      <w:bookmarkStart w:id="3" w:name="OLE_LINK10"/>
      <w:bookmarkStart w:id="4" w:name="OLE_LINK1"/>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resource allocation in frequency domain for transmission or reception in SBFD symbols and non-SBFD symbols with different available frequency resource in different slots</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CSI report of which associated CSI-RS instances occur in both SBFD symbols and non-SBFD symbols in different slots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Configurations for SRS, PUCCH and PUSCH on SBFD symbols and non-SBFD symbols, e.g., resources, frequency hopping parameters, UL power control parameters and/or beam/spatial relation</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Collision handling between DL reception in DL subband(s) and UL transmission in UL subband in a SBFD symbol</w:t>
            </w:r>
          </w:p>
          <w:p>
            <w:pPr>
              <w:keepNext w:val="0"/>
              <w:keepLines w:val="0"/>
              <w:widowControl w:val="0"/>
              <w:numPr>
                <w:ilvl w:val="1"/>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Followings are assumed based on TR 38.858</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at the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Half duplex operation at the UE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FR1 and FR2-1</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operation Option 4, i.e., both time and frequency locations of subbands for SBFD operation are known to SBFD aware UEs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Coexistence between non-SBFD aware UEs (including legacy UEs) and SBFD aware UEs in the cell operating SBFD at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scheme within a single configured DL and UL BWP pair with aligned center frequencies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One UL subband for SBFD operation in an SBFD symbol (excluding legacy UL symbol/slot) within a TDD carrier</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等线" w:cs="Times New Roman"/>
                <w:sz w:val="20"/>
                <w:szCs w:val="20"/>
                <w:lang w:val="en-US" w:eastAsia="zh-CN"/>
              </w:rPr>
              <w:t xml:space="preserve">Mechanisms for SBFD operation shall also consider the </w:t>
            </w:r>
            <w:r>
              <w:rPr>
                <w:rFonts w:hint="eastAsia" w:ascii="Times New Roman" w:hAnsi="Times New Roman" w:eastAsia="Malgun Gothic" w:cs="Times New Roman"/>
                <w:sz w:val="20"/>
                <w:szCs w:val="20"/>
                <w:lang w:val="en-US" w:eastAsia="ko-KR"/>
              </w:rPr>
              <w:t>adjacent channel coexistence between two operators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operation, including</w:t>
      </w:r>
      <w:r>
        <w:t xml:space="preserve"> </w:t>
      </w:r>
      <w:bookmarkEnd w:id="3"/>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bCs/>
          <w:lang w:val="en-US" w:eastAsia="zh-CN"/>
        </w:rPr>
        <w:t>.</w:t>
      </w:r>
      <w:bookmarkEnd w:id="4"/>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Semi-static indication of SBFD subbands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From the gNB</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s perspective, a portion of the frequency resources within the TDD carrier can be allocated for UL transmission, known as SBFD operations. This part of the frequency resource can be considered as a sub-pool of the overall frequency resource pool of the TDD carrier. In this regard, the UL subband is shared by all SBFD aware UEs and can be configured at the cell level. In addition, the configuration signaling is straightforward, since the frequency location of the UL/DL subbands is determined with reference to the CRB grid. For a BWP pair configured for the TDD cell, the UL subband for the actual application can be derived from the UL/DL BWP of the BWP pair and the frequency positions of the UL subbands configured for the TDD cell.</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Alternatively, it is also possible to configure the UL subband at the BWP level, as long as the gNB is able to manage UL the configurations related to the UL subband based on the planned sub-pool of UL resources for the TDD carrier. Since the UE typically operates in an active BWP pair, it is simpler and more straightforward for the UE to apply the subband division within the active BWP pair, with the UL subband naturally confined within the BWP pair. Additionally, configuring the UL subband at the BWP level can better align with other signaling configurations within the same BWP pair, such as achieving separate configurations of channels/signals for SBFD symbols and non-SBFD symbols.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In summary, there are different advantages to configure subbands at either the cell level or the BWP level. However, it is slightly preferred to configure subbands at the cell level. Nevertheless, it is preferable for the subbands to be configured using cell-specific RRC signaling, since the subband configuration is common for all the SBFD aware UE.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1：Subband configuration of the SBFD UE should be performed at the cell level with cell-specific RRC signaling.</w:t>
      </w:r>
    </w:p>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the discussion of SBFD operation within a TDD carrier, an SBFD subband is defined as a single RB or a set of consecutive RBs used in the same direction of transmission. Similarly, an SBFD symbol is defined as a symbol that contains the subbands of the gNB used for SBFD operation.</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study phase, studies on SBFD operations within TDD carriers have focused on SBFD schemes in pairs of individually configured DL and UL BWP based on aligned center frequencies. In the RAN1 study, the maximum number of UL subbands used for SBFD operation within a TDD carrier in an SBFD symbol (excluding legacy UL symbols) is limited to one. This UL subband may be located on one side or in the middle portion of the carrier.</w:t>
      </w:r>
    </w:p>
    <w:p>
      <w:pPr>
        <w:spacing w:after="120"/>
      </w:pPr>
      <w:r>
        <w:t xml:space="preserve">For semi-static configuration of subband frequency locations for SBFD operation, </w:t>
      </w:r>
      <w:r>
        <w:rPr>
          <w:rFonts w:hint="eastAsia"/>
        </w:rPr>
        <w:t xml:space="preserve">at least </w:t>
      </w:r>
      <w:r>
        <w:t>explicit indication of frequency location of UL subband is required</w:t>
      </w:r>
      <w:r>
        <w:rPr>
          <w:rFonts w:hint="eastAsia"/>
        </w:rPr>
        <w:t>.</w:t>
      </w:r>
      <w:r>
        <w:t xml:space="preserve"> At least for semi-static SBFD, the following two options are viable solutions for frequency location configuration of DL subband(s) and guardband(s) if any.</w:t>
      </w:r>
    </w:p>
    <w:p>
      <w:pPr>
        <w:pStyle w:val="41"/>
        <w:rPr>
          <w:sz w:val="22"/>
          <w:szCs w:val="22"/>
        </w:rPr>
      </w:pPr>
      <w:r>
        <w:rPr>
          <w:sz w:val="22"/>
          <w:szCs w:val="22"/>
        </w:rPr>
        <w:t>-</w:t>
      </w:r>
      <w:r>
        <w:rPr>
          <w:sz w:val="22"/>
          <w:szCs w:val="22"/>
        </w:rPr>
        <w:tab/>
      </w:r>
      <w:r>
        <w:rPr>
          <w:sz w:val="22"/>
          <w:szCs w:val="22"/>
        </w:rPr>
        <w:t xml:space="preserve">Option 1: Frequency locations of DL subband(s) are explicitly configured. Guardband(s) if any are implicitly derived as the RBs which are not within UL subband or DL subband(s). </w:t>
      </w:r>
    </w:p>
    <w:p>
      <w:pPr>
        <w:pStyle w:val="41"/>
        <w:rPr>
          <w:sz w:val="22"/>
          <w:szCs w:val="22"/>
        </w:rPr>
      </w:pPr>
      <w:r>
        <w:rPr>
          <w:sz w:val="22"/>
          <w:szCs w:val="22"/>
        </w:rPr>
        <w:t>-</w:t>
      </w:r>
      <w:r>
        <w:rPr>
          <w:sz w:val="22"/>
          <w:szCs w:val="22"/>
        </w:rPr>
        <w:tab/>
      </w:r>
      <w:r>
        <w:rPr>
          <w:sz w:val="22"/>
          <w:szCs w:val="22"/>
        </w:rPr>
        <w:t>Option 2: The number of RBs for guardband(s), if any, is explicitly configured. DL subband(s) are implicitly derived as RBs which are not within UL subband or guardband(s).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For an SBFD-aware UE, the guard band affects transmission/reception not only within the SBFD band, but also outside the SBFD band. Therefore, for SBFD aware UE, the guard band needs to be indicated by the gNB.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2: The frequency location of SBFD subband and the guardband can be jointly indicated by gNB.</w:t>
      </w:r>
    </w:p>
    <w:p>
      <w:pPr>
        <w:rPr>
          <w:rFonts w:hint="default"/>
          <w:b/>
          <w:i/>
          <w:iCs w:val="0"/>
          <w:strike w:val="0"/>
          <w:dstrike w:val="0"/>
          <w:szCs w:val="20"/>
          <w:lang w:val="en-US" w:eastAsia="zh-CN"/>
        </w:rPr>
      </w:pPr>
    </w:p>
    <w:p>
      <w:pPr>
        <w:spacing w:before="120" w:beforeLines="50"/>
        <w:rPr>
          <w:rFonts w:hint="default" w:ascii="Times" w:hAnsi="Times"/>
          <w:lang w:val="en-US" w:eastAsia="zh-CN"/>
        </w:rPr>
      </w:pPr>
      <w:r>
        <w:rPr>
          <w:rFonts w:ascii="Times" w:hAnsi="Times" w:eastAsia="Malgun Gothic"/>
          <w:lang w:eastAsia="zh-CN"/>
        </w:rPr>
        <w:t xml:space="preserve">At least for semi-static SBFD, in order to avoid frequent </w:t>
      </w:r>
      <w:r>
        <w:rPr>
          <w:rFonts w:hint="eastAsia" w:ascii="Times" w:hAnsi="Times"/>
        </w:rPr>
        <w:t>transition</w:t>
      </w:r>
      <w:r>
        <w:rPr>
          <w:rFonts w:ascii="Times" w:hAnsi="Times" w:eastAsia="Malgun Gothic"/>
          <w:lang w:eastAsia="zh-CN"/>
        </w:rPr>
        <w:t xml:space="preserve">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Pr>
          <w:rFonts w:hint="eastAsia" w:ascii="Times" w:hAnsi="Times"/>
        </w:rPr>
        <w:t xml:space="preserve"> </w:t>
      </w:r>
      <w:r>
        <w:rPr>
          <w:rFonts w:hint="eastAsia" w:eastAsiaTheme="minorEastAsia"/>
          <w:lang w:val="en-US" w:eastAsia="zh-CN"/>
        </w:rPr>
        <w:t xml:space="preserve">In current specification, </w:t>
      </w:r>
      <w:r>
        <w:rPr>
          <w:rFonts w:eastAsiaTheme="minorEastAsia"/>
          <w:lang w:eastAsia="zh-CN"/>
        </w:rPr>
        <w:t>the minimum granularity of TDD configuration, time domain resource allocation and collision handling etc. are symbol level and the same granularity should be followed for SBFD operation.</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3: The period of the SBFD symbol needs to match the TDD UL/DL pattern period configuration.</w:t>
      </w:r>
      <w:bookmarkStart w:id="5" w:name="OLE_LINK2"/>
    </w:p>
    <w:bookmarkEnd w:id="5"/>
    <w:p>
      <w:pPr>
        <w:rPr>
          <w:rFonts w:hint="default"/>
          <w:b/>
          <w:i/>
          <w:iCs w:val="0"/>
          <w:strike w:val="0"/>
          <w:dstrike w:val="0"/>
          <w:szCs w:val="20"/>
          <w:lang w:val="en-US" w:eastAsia="zh-CN"/>
        </w:rPr>
      </w:pPr>
    </w:p>
    <w:p>
      <w:pPr>
        <w:pStyle w:val="2"/>
      </w:pPr>
      <w:r>
        <w:t>Conclusion</w:t>
      </w:r>
    </w:p>
    <w:p>
      <w:pPr>
        <w:rPr>
          <w:rFonts w:hint="eastAsia"/>
          <w:lang w:val="en-US" w:eastAsia="zh-CN"/>
        </w:rPr>
      </w:pPr>
      <w:bookmarkStart w:id="6" w:name="OLE_LINK6"/>
      <w:bookmarkStart w:id="7" w:name="OLE_LINK40"/>
      <w:bookmarkStart w:id="8" w:name="OLE_LINK4"/>
      <w:bookmarkStart w:id="9" w:name="OLE_LINK5"/>
      <w:bookmarkStart w:id="10" w:name="OLE_LINK39"/>
      <w:bookmarkStart w:id="11" w:name="OLE_LINK3"/>
      <w:r>
        <w:t>In this contribution, we focus on</w:t>
      </w:r>
      <w:r>
        <w:rPr>
          <w:rFonts w:hint="eastAsia"/>
          <w:lang w:val="en-US" w:eastAsia="zh-CN"/>
        </w:rPr>
        <w:t xml:space="preserve"> the SBFD operation, including</w:t>
      </w:r>
      <w:r>
        <w:t xml:space="preserve"> </w:t>
      </w:r>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1：Subband configuration of the SBFD UE should be performed at the cell level with cell-specific RRC signaling.</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2: The frequency location of SBFD subband and the guardband can be jointly indicated by gNB.</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3: The period of the SBFD symbol needs to match the TDD UL/DL pattern period configuration.</w:t>
      </w:r>
    </w:p>
    <w:p>
      <w:pPr>
        <w:rPr>
          <w:rFonts w:hint="eastAsia"/>
          <w:b/>
          <w:bCs w:val="0"/>
          <w:i/>
          <w:iCs w:val="0"/>
          <w:szCs w:val="20"/>
          <w:lang w:val="en-US" w:eastAsia="zh-CN"/>
        </w:rPr>
      </w:pPr>
    </w:p>
    <w:bookmarkEnd w:id="6"/>
    <w:bookmarkEnd w:id="7"/>
    <w:bookmarkEnd w:id="8"/>
    <w:bookmarkEnd w:id="9"/>
    <w:bookmarkEnd w:id="10"/>
    <w:bookmarkEnd w:id="11"/>
    <w:p>
      <w:pPr>
        <w:pStyle w:val="2"/>
      </w:pPr>
      <w:r>
        <w:t>Reference</w:t>
      </w:r>
    </w:p>
    <w:bookmarkEnd w:id="1"/>
    <w:p>
      <w:pPr>
        <w:pStyle w:val="55"/>
        <w:numPr>
          <w:ilvl w:val="0"/>
          <w:numId w:val="9"/>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4">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3"/>
  </w:num>
  <w:num w:numId="4">
    <w:abstractNumId w:val="6"/>
  </w:num>
  <w:num w:numId="5">
    <w:abstractNumId w:val="7"/>
  </w:num>
  <w:num w:numId="6">
    <w:abstractNumId w:val="4"/>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C4B0E93"/>
    <w:rsid w:val="0E1A61D8"/>
    <w:rsid w:val="0E225C58"/>
    <w:rsid w:val="0E6911DF"/>
    <w:rsid w:val="0EC4383D"/>
    <w:rsid w:val="0FF52C16"/>
    <w:rsid w:val="10A80B60"/>
    <w:rsid w:val="10AA4AD6"/>
    <w:rsid w:val="119F406C"/>
    <w:rsid w:val="139E1370"/>
    <w:rsid w:val="14283870"/>
    <w:rsid w:val="16881E22"/>
    <w:rsid w:val="16896A50"/>
    <w:rsid w:val="192E0655"/>
    <w:rsid w:val="197E1E30"/>
    <w:rsid w:val="1ADF4FC4"/>
    <w:rsid w:val="1B6D049A"/>
    <w:rsid w:val="1D233F3F"/>
    <w:rsid w:val="1D537CF1"/>
    <w:rsid w:val="1D885B45"/>
    <w:rsid w:val="1E00487E"/>
    <w:rsid w:val="1E3F33CA"/>
    <w:rsid w:val="1F4B31FF"/>
    <w:rsid w:val="1FE60956"/>
    <w:rsid w:val="220C2222"/>
    <w:rsid w:val="23602280"/>
    <w:rsid w:val="24164F9F"/>
    <w:rsid w:val="283369D9"/>
    <w:rsid w:val="298441EF"/>
    <w:rsid w:val="2B560BA8"/>
    <w:rsid w:val="2B7E5FB4"/>
    <w:rsid w:val="2C84203A"/>
    <w:rsid w:val="2C876C12"/>
    <w:rsid w:val="2D346D5E"/>
    <w:rsid w:val="2D6E7958"/>
    <w:rsid w:val="2E3E13E7"/>
    <w:rsid w:val="2E7349E0"/>
    <w:rsid w:val="2F29409D"/>
    <w:rsid w:val="31C52518"/>
    <w:rsid w:val="31DE45D1"/>
    <w:rsid w:val="34382BF7"/>
    <w:rsid w:val="34F02636"/>
    <w:rsid w:val="35A345E4"/>
    <w:rsid w:val="36C571C3"/>
    <w:rsid w:val="37DC2534"/>
    <w:rsid w:val="385910DC"/>
    <w:rsid w:val="3CF87929"/>
    <w:rsid w:val="3D1A31D5"/>
    <w:rsid w:val="40E64C03"/>
    <w:rsid w:val="43B92A18"/>
    <w:rsid w:val="45ED6C35"/>
    <w:rsid w:val="47004D5B"/>
    <w:rsid w:val="47A46C49"/>
    <w:rsid w:val="48792000"/>
    <w:rsid w:val="48B03A9C"/>
    <w:rsid w:val="48C33C84"/>
    <w:rsid w:val="4A0F5398"/>
    <w:rsid w:val="4A247D73"/>
    <w:rsid w:val="4A5563BA"/>
    <w:rsid w:val="4EE31812"/>
    <w:rsid w:val="511B2E45"/>
    <w:rsid w:val="51A6413F"/>
    <w:rsid w:val="557D7CF0"/>
    <w:rsid w:val="568D08AA"/>
    <w:rsid w:val="57832449"/>
    <w:rsid w:val="57896873"/>
    <w:rsid w:val="58A36C07"/>
    <w:rsid w:val="5A236FFA"/>
    <w:rsid w:val="5AD73495"/>
    <w:rsid w:val="5B8C599C"/>
    <w:rsid w:val="5FE404A4"/>
    <w:rsid w:val="61F1064B"/>
    <w:rsid w:val="620A281A"/>
    <w:rsid w:val="62E36ECA"/>
    <w:rsid w:val="643111CD"/>
    <w:rsid w:val="68122C5B"/>
    <w:rsid w:val="68E32000"/>
    <w:rsid w:val="68E450C8"/>
    <w:rsid w:val="69065363"/>
    <w:rsid w:val="6AC8766D"/>
    <w:rsid w:val="6B6A27A4"/>
    <w:rsid w:val="6DFF249A"/>
    <w:rsid w:val="6E4F0843"/>
    <w:rsid w:val="70A23833"/>
    <w:rsid w:val="70DC11F3"/>
    <w:rsid w:val="71881DE0"/>
    <w:rsid w:val="71F37DF8"/>
    <w:rsid w:val="72E826E6"/>
    <w:rsid w:val="7338000B"/>
    <w:rsid w:val="745E0D6E"/>
    <w:rsid w:val="75F13A79"/>
    <w:rsid w:val="78F66947"/>
    <w:rsid w:val="7ADD3110"/>
    <w:rsid w:val="7B6244CD"/>
    <w:rsid w:val="7CD65923"/>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5</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2024-02-19T07:29:07Z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